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26C45" w14:textId="64F4C9F5" w:rsidR="00E0368B" w:rsidRPr="00E0368B" w:rsidRDefault="00E0368B" w:rsidP="001C0739">
      <w:pPr>
        <w:jc w:val="center"/>
        <w:rPr>
          <w:rFonts w:ascii="Verdana" w:eastAsia="Verdana" w:hAnsi="Verdana" w:cs="Verdana"/>
          <w:b/>
          <w:bCs/>
          <w:u w:val="single"/>
        </w:rPr>
      </w:pPr>
      <w:r w:rsidRPr="00E0368B">
        <w:rPr>
          <w:rFonts w:ascii="Verdana" w:eastAsia="Verdana" w:hAnsi="Verdana" w:cs="Verdana"/>
          <w:b/>
          <w:bCs/>
          <w:u w:val="single"/>
        </w:rPr>
        <w:t>Solicitamos se aplique daño direc</w:t>
      </w:r>
      <w:r>
        <w:rPr>
          <w:rFonts w:ascii="Verdana" w:eastAsia="Verdana" w:hAnsi="Verdana" w:cs="Verdana"/>
          <w:b/>
          <w:bCs/>
          <w:u w:val="single"/>
        </w:rPr>
        <w:t>to</w:t>
      </w:r>
      <w:r w:rsidRPr="00E0368B">
        <w:rPr>
          <w:rFonts w:ascii="Verdana" w:eastAsia="Verdana" w:hAnsi="Verdana" w:cs="Verdana"/>
          <w:b/>
          <w:bCs/>
          <w:u w:val="single"/>
        </w:rPr>
        <w:t xml:space="preserve"> y diferimiento de pago de facturas</w:t>
      </w:r>
      <w:r>
        <w:rPr>
          <w:rFonts w:ascii="Verdana" w:eastAsia="Verdana" w:hAnsi="Verdana" w:cs="Verdana"/>
          <w:b/>
          <w:bCs/>
          <w:u w:val="single"/>
        </w:rPr>
        <w:t xml:space="preserve"> de EDESUR, por cortes de suministro</w:t>
      </w:r>
    </w:p>
    <w:p w14:paraId="6349B050" w14:textId="77777777" w:rsidR="001C0739" w:rsidRDefault="008A4327" w:rsidP="009D44F1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</w:t>
      </w:r>
    </w:p>
    <w:p w14:paraId="1DC15014" w14:textId="2452557F" w:rsidR="00D832D9" w:rsidRDefault="001C0739" w:rsidP="001C0739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Hace un par de semanas, se presentó una nota desde la Comisión de Usuarios Residenciales –que coordinamos desde la Unión de Usuarios y Consumidores- insistiendo en la aplicación del daño directo, para fijar los resarcimientos a todxs aquellxs usuarixs que sufrieron cortes de servicio en los meses de febrero y marzo de 2023 y al mismo tiempo pedir un diferimiento en el pago de las facturas de EDESUR que fueron recibiendo.</w:t>
      </w:r>
      <w:r w:rsidR="008A4327"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</w:rPr>
        <w:t>La nota presentada en el ENRE, dice lo siguiente:</w:t>
      </w:r>
      <w:r w:rsidR="008A4327">
        <w:rPr>
          <w:rFonts w:ascii="Verdana" w:eastAsia="Verdana" w:hAnsi="Verdana" w:cs="Verdana"/>
        </w:rPr>
        <w:t xml:space="preserve">                                    </w:t>
      </w:r>
    </w:p>
    <w:p w14:paraId="1C29D181" w14:textId="12EDDEC0" w:rsidR="00D832D9" w:rsidRDefault="001C0739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</w:t>
      </w:r>
      <w:r w:rsidR="008A4327">
        <w:rPr>
          <w:rFonts w:ascii="Verdana" w:eastAsia="Verdana" w:hAnsi="Verdana" w:cs="Verdana"/>
        </w:rPr>
        <w:t>Desde la Comisión de Usuarios Residenciales y las asociaciones que</w:t>
      </w:r>
      <w:r w:rsidR="00E0368B">
        <w:rPr>
          <w:rFonts w:ascii="Verdana" w:eastAsia="Verdana" w:hAnsi="Verdana" w:cs="Verdana"/>
        </w:rPr>
        <w:t xml:space="preserve"> la</w:t>
      </w:r>
      <w:r w:rsidR="008A4327">
        <w:rPr>
          <w:rFonts w:ascii="Verdana" w:eastAsia="Verdana" w:hAnsi="Verdana" w:cs="Verdana"/>
        </w:rPr>
        <w:t xml:space="preserve"> integra</w:t>
      </w:r>
      <w:r w:rsidR="00E0368B">
        <w:rPr>
          <w:rFonts w:ascii="Verdana" w:eastAsia="Verdana" w:hAnsi="Verdana" w:cs="Verdana"/>
        </w:rPr>
        <w:t>n</w:t>
      </w:r>
      <w:r w:rsidR="008A4327">
        <w:rPr>
          <w:rFonts w:ascii="Verdana" w:eastAsia="Verdana" w:hAnsi="Verdana" w:cs="Verdana"/>
        </w:rPr>
        <w:t xml:space="preserve">, </w:t>
      </w:r>
      <w:r w:rsidR="0004478B">
        <w:rPr>
          <w:rFonts w:ascii="Verdana" w:eastAsia="Verdana" w:hAnsi="Verdana" w:cs="Verdana"/>
        </w:rPr>
        <w:t xml:space="preserve">manteniendo la postura oportunamente planteada ante </w:t>
      </w:r>
      <w:r w:rsidR="00E0368B">
        <w:rPr>
          <w:rFonts w:ascii="Verdana" w:eastAsia="Verdana" w:hAnsi="Verdana" w:cs="Verdana"/>
        </w:rPr>
        <w:t xml:space="preserve">el ENRE en el </w:t>
      </w:r>
      <w:r w:rsidR="0004478B">
        <w:rPr>
          <w:rFonts w:ascii="Verdana" w:eastAsia="Verdana" w:hAnsi="Verdana" w:cs="Verdana"/>
        </w:rPr>
        <w:t xml:space="preserve">mes de febrero, en relación a los innumerables cortes </w:t>
      </w:r>
      <w:r w:rsidR="008A4327">
        <w:rPr>
          <w:rFonts w:ascii="Verdana" w:eastAsia="Verdana" w:hAnsi="Verdana" w:cs="Verdana"/>
        </w:rPr>
        <w:t>de suministro del servi</w:t>
      </w:r>
      <w:r w:rsidR="008A4327">
        <w:rPr>
          <w:rFonts w:ascii="Verdana" w:eastAsia="Verdana" w:hAnsi="Verdana" w:cs="Verdana"/>
        </w:rPr>
        <w:t>cio público de energía eléctrica, efectuados por la distribuidora EDESUR S.A. en su zona de concesión</w:t>
      </w:r>
      <w:r w:rsidR="0004478B">
        <w:rPr>
          <w:rFonts w:ascii="Verdana" w:eastAsia="Verdana" w:hAnsi="Verdana" w:cs="Verdana"/>
        </w:rPr>
        <w:t xml:space="preserve">; </w:t>
      </w:r>
      <w:r>
        <w:rPr>
          <w:rFonts w:ascii="Verdana" w:eastAsia="Verdana" w:hAnsi="Verdana" w:cs="Verdana"/>
        </w:rPr>
        <w:t>manifestamos</w:t>
      </w:r>
      <w:r w:rsidR="0004478B">
        <w:rPr>
          <w:rFonts w:ascii="Verdana" w:eastAsia="Verdana" w:hAnsi="Verdana" w:cs="Verdana"/>
        </w:rPr>
        <w:t xml:space="preserve"> la necesidad imperiosa de aplicar en el corto plazo el instituto del Daño Directo a fin de reconocer resarcimientos económicos a todos/as los usuarios/as que se vieron afectados por los cortes. </w:t>
      </w:r>
      <w:r w:rsidR="008A4327">
        <w:rPr>
          <w:rFonts w:ascii="Verdana" w:eastAsia="Verdana" w:hAnsi="Verdana" w:cs="Verdana"/>
        </w:rPr>
        <w:t xml:space="preserve">  </w:t>
      </w:r>
    </w:p>
    <w:p w14:paraId="1C231B2B" w14:textId="36C5A8FF" w:rsidR="0004478B" w:rsidRDefault="0004478B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Consideramos que la resolución </w:t>
      </w:r>
      <w:r w:rsidR="00A24724">
        <w:rPr>
          <w:rFonts w:ascii="Verdana" w:eastAsia="Verdana" w:hAnsi="Verdana" w:cs="Verdana"/>
        </w:rPr>
        <w:t>236/2023 dictada por el ENRE resulta insuficiente por distintos motivos: el primero, porque sólo se acota a la aplicación de las multas establecidas por el contrato de concesión ante incumplimientos, lo cu</w:t>
      </w:r>
      <w:r w:rsidR="00E0368B">
        <w:rPr>
          <w:rFonts w:ascii="Verdana" w:eastAsia="Verdana" w:hAnsi="Verdana" w:cs="Verdana"/>
        </w:rPr>
        <w:t>a</w:t>
      </w:r>
      <w:r w:rsidR="00A24724">
        <w:rPr>
          <w:rFonts w:ascii="Verdana" w:eastAsia="Verdana" w:hAnsi="Verdana" w:cs="Verdana"/>
        </w:rPr>
        <w:t>l resulta exiguo para la envergadura de desidia e irresponsabilidad con la que EDESUR S.A. manejó la situación;  en segundo lugar, porque no se aplicó el Daño Directo como herramienta útil a los fines de elevar los montos del resarcimiento a los usuarios y el tercero, es que resulta evidente que la situación se fue agravando, a tal punto que hace pocos días se decidió la intervención administrativa de la distribuidora (mediante resolución 307/2023).</w:t>
      </w:r>
    </w:p>
    <w:p w14:paraId="318AA362" w14:textId="440E973C" w:rsidR="00D832D9" w:rsidRDefault="00A24724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Hemos mencionado</w:t>
      </w:r>
      <w:r w:rsidR="00E0368B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en febrero</w:t>
      </w:r>
      <w:r w:rsidR="00E0368B">
        <w:rPr>
          <w:rFonts w:ascii="Verdana" w:eastAsia="Verdana" w:hAnsi="Verdana" w:cs="Verdana"/>
        </w:rPr>
        <w:t xml:space="preserve"> pasado</w:t>
      </w:r>
      <w:r>
        <w:rPr>
          <w:rFonts w:ascii="Verdana" w:eastAsia="Verdana" w:hAnsi="Verdana" w:cs="Verdana"/>
        </w:rPr>
        <w:t>, que existían antecedentes de incumplimientos ya que EDESUR S.A. contaba con una vasta trayectoria de incumplimientos.  Es por ello, que a fin de ejemplificar que ya se aplicó el Daño Directo ante incumplimientos similares, mencionaremos algunos casos.</w:t>
      </w:r>
    </w:p>
    <w:p w14:paraId="4F6DF5A8" w14:textId="3215BB76" w:rsidR="00372C7E" w:rsidRDefault="00A24724" w:rsidP="009D44F1">
      <w:pPr>
        <w:spacing w:line="360" w:lineRule="auto"/>
        <w:ind w:firstLine="708"/>
        <w:jc w:val="both"/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</w:rPr>
        <w:t xml:space="preserve">Ante </w:t>
      </w:r>
      <w:r w:rsidR="006B65AA"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 xml:space="preserve">ncumplimientos </w:t>
      </w:r>
      <w:r w:rsidR="006B65AA">
        <w:rPr>
          <w:rFonts w:ascii="Verdana" w:eastAsia="Verdana" w:hAnsi="Verdana" w:cs="Verdana"/>
        </w:rPr>
        <w:t xml:space="preserve">análogos por parte de EDESUR S.A. que tuvieron lugar a fines del año 2010, el ENRE dictó la </w:t>
      </w:r>
      <w:r w:rsidR="00372C7E">
        <w:rPr>
          <w:rFonts w:ascii="Verdana" w:eastAsia="Verdana" w:hAnsi="Verdana" w:cs="Verdana"/>
        </w:rPr>
        <w:t>Resolución 31/201</w:t>
      </w:r>
      <w:r w:rsidR="006B65AA">
        <w:rPr>
          <w:rFonts w:ascii="Verdana" w:eastAsia="Verdana" w:hAnsi="Verdana" w:cs="Verdana"/>
        </w:rPr>
        <w:t>1, que en sus considerandos decía</w:t>
      </w:r>
      <w:r w:rsidR="00372C7E">
        <w:rPr>
          <w:rFonts w:ascii="Verdana" w:eastAsia="Verdana" w:hAnsi="Verdana" w:cs="Verdana"/>
        </w:rPr>
        <w:t xml:space="preserve">: </w:t>
      </w:r>
      <w:r w:rsidR="00372C7E" w:rsidRPr="00372C7E">
        <w:rPr>
          <w:rFonts w:ascii="Verdana" w:eastAsia="Verdana" w:hAnsi="Verdana" w:cs="Verdana"/>
          <w:i/>
          <w:iCs/>
        </w:rPr>
        <w:t xml:space="preserve">“Que en el mismo sentido se han presentado distintas Asociaciones de Usuarios solicitando la adopción de sanciones y actos que den </w:t>
      </w:r>
      <w:r w:rsidR="00372C7E" w:rsidRPr="00372C7E">
        <w:rPr>
          <w:rFonts w:ascii="Verdana" w:eastAsia="Verdana" w:hAnsi="Verdana" w:cs="Verdana"/>
          <w:i/>
          <w:iCs/>
        </w:rPr>
        <w:lastRenderedPageBreak/>
        <w:t xml:space="preserve">respuesta a los perjuicios sufridos por los usuarios del servicio.  Que en el contexto expuesto, corresponde adoptar medidas concretas, ad hoc, que viabilicen derechos afectados, evitando que los usuarios incurran en gastos o gestiones innecesarias que pudieran convertir en ilusorias sus legítimas pretensiones. Así, los remedios en estudio se encuentran orientados a atender los casos de aquellos usuarios (T1R), que por la eventual menor cuantía de sus reclamos, verían desbaratados en la práctica sus derechos, al tener que recurrir a otras vías para hacerlos efectivos.  Que </w:t>
      </w:r>
      <w:r w:rsidR="006B65AA">
        <w:rPr>
          <w:rFonts w:ascii="Verdana" w:eastAsia="Verdana" w:hAnsi="Verdana" w:cs="Verdana"/>
          <w:i/>
          <w:iCs/>
        </w:rPr>
        <w:t>e</w:t>
      </w:r>
      <w:r w:rsidR="00372C7E" w:rsidRPr="00372C7E">
        <w:rPr>
          <w:rFonts w:ascii="Verdana" w:eastAsia="Verdana" w:hAnsi="Verdana" w:cs="Verdana"/>
          <w:i/>
          <w:iCs/>
        </w:rPr>
        <w:t xml:space="preserve">stas medidas, encuentran justificación directa y operativa en el </w:t>
      </w:r>
      <w:r w:rsidR="00372C7E" w:rsidRPr="00E0368B">
        <w:rPr>
          <w:rFonts w:ascii="Verdana" w:eastAsia="Verdana" w:hAnsi="Verdana" w:cs="Verdana"/>
          <w:i/>
          <w:iCs/>
        </w:rPr>
        <w:t>Artículo 42 de la Constitución Nacional; en el Artículo 2 inciso a) de la Ley N° 24.065 -Ley de Marco Regulatorio Eléctrico-, y en la Ley de Defensa del Consumidor N° 24.240.</w:t>
      </w:r>
      <w:r w:rsidR="006B65AA" w:rsidRPr="00E0368B">
        <w:rPr>
          <w:rFonts w:ascii="Verdana" w:eastAsia="Verdana" w:hAnsi="Verdana" w:cs="Verdana"/>
          <w:i/>
          <w:iCs/>
        </w:rPr>
        <w:t xml:space="preserve"> </w:t>
      </w:r>
      <w:r w:rsidR="00372C7E" w:rsidRPr="00E0368B">
        <w:rPr>
          <w:rFonts w:ascii="Verdana" w:eastAsia="Verdana" w:hAnsi="Verdana" w:cs="Verdana"/>
          <w:i/>
          <w:iCs/>
        </w:rPr>
        <w:t>Que por otra parte no puede obviarse, dentro de nuestro ámbito de incumbencia, dado por el Artículo 25 de la Ley Nacional de Defensa del Consumidor N° 24.240 y su complementaria Ley N° 26.361, lo dispuesto por el Artículo 40 bis</w:t>
      </w:r>
      <w:r w:rsidR="00372C7E" w:rsidRPr="00372C7E">
        <w:rPr>
          <w:rFonts w:ascii="Verdana" w:eastAsia="Verdana" w:hAnsi="Verdana" w:cs="Verdana"/>
          <w:i/>
          <w:iCs/>
        </w:rPr>
        <w:t xml:space="preserve"> de esa normativa que, expresamente, establece la obligación de resarcir “todo perjuicio o menoscabo al derecho del usuario o consumidor, susceptible de apreciación pecuniaria, ocasionado de manera inmediata sobre sus bienes o sobre su persona, como consecuencia de la acción u omisión del proveedor de bienes o del prestador de servicios”.</w:t>
      </w:r>
    </w:p>
    <w:p w14:paraId="2EAAB50E" w14:textId="3B2277D4" w:rsidR="00D832D9" w:rsidRDefault="006B65AA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Existen otros antecedentes, tales como las resoluciones 32 y 33 de 2011, resolución 1/2014, todas dictadas por el ENRE, que también aplican complementariamente toda la normativa sobre derecho del consumidor, especialmente el concepto de daño directo. </w:t>
      </w:r>
    </w:p>
    <w:p w14:paraId="65F09461" w14:textId="41E89E17" w:rsidR="00D832D9" w:rsidRDefault="006B65AA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Resulta innecesario aclarar que el artículo 42 de la Constitución Nacional es de aplicación necesaria y obligatoria, conforme su jerarquía, pero a su vez, la Ley de Defensa del Consumidor (</w:t>
      </w:r>
      <w:r w:rsidR="00372C7E">
        <w:rPr>
          <w:rFonts w:ascii="Verdana" w:eastAsia="Verdana" w:hAnsi="Verdana" w:cs="Verdana"/>
        </w:rPr>
        <w:t>LDC 24.240</w:t>
      </w:r>
      <w:r>
        <w:rPr>
          <w:rFonts w:ascii="Verdana" w:eastAsia="Verdana" w:hAnsi="Verdana" w:cs="Verdana"/>
        </w:rPr>
        <w:t>)</w:t>
      </w:r>
      <w:r w:rsidR="00372C7E">
        <w:rPr>
          <w:rFonts w:ascii="Verdana" w:eastAsia="Verdana" w:hAnsi="Verdana" w:cs="Verdana"/>
        </w:rPr>
        <w:t>, es de orden público, por lo cu</w:t>
      </w:r>
      <w:r w:rsidR="00061662">
        <w:rPr>
          <w:rFonts w:ascii="Verdana" w:eastAsia="Verdana" w:hAnsi="Verdana" w:cs="Verdana"/>
        </w:rPr>
        <w:t>a</w:t>
      </w:r>
      <w:r w:rsidR="00372C7E">
        <w:rPr>
          <w:rFonts w:ascii="Verdana" w:eastAsia="Verdana" w:hAnsi="Verdana" w:cs="Verdana"/>
        </w:rPr>
        <w:t xml:space="preserve">l su aplicación resulta complementaria a los regímenes especiales que regulan los diferentes servicios.  </w:t>
      </w:r>
    </w:p>
    <w:p w14:paraId="60F8A2F9" w14:textId="4409297D" w:rsidR="00372C7E" w:rsidRDefault="00372C7E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Sería absolutamente insuficiente -dada la gravedad del tema que nos ocupa- aplicar solamente los criterios establecidos por los contratos de concesión del servicio de energía eléctrica para casos de incumplimiento. </w:t>
      </w:r>
    </w:p>
    <w:p w14:paraId="2E89705C" w14:textId="72F6BED1" w:rsidR="006B65AA" w:rsidRDefault="006B65AA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Es por ello, que instamos a Ud. a fin de dictar las resoluciones que </w:t>
      </w:r>
      <w:r w:rsidR="000E401A">
        <w:rPr>
          <w:rFonts w:ascii="Verdana" w:eastAsia="Verdana" w:hAnsi="Verdana" w:cs="Verdana"/>
        </w:rPr>
        <w:t xml:space="preserve">incluyan el </w:t>
      </w:r>
      <w:r>
        <w:rPr>
          <w:rFonts w:ascii="Verdana" w:eastAsia="Verdana" w:hAnsi="Verdana" w:cs="Verdana"/>
        </w:rPr>
        <w:t>Daño Directo</w:t>
      </w:r>
      <w:r w:rsidR="000E401A">
        <w:rPr>
          <w:rFonts w:ascii="Verdana" w:eastAsia="Verdana" w:hAnsi="Verdana" w:cs="Verdana"/>
        </w:rPr>
        <w:t>, con el objeto de llevar algún resarcimiento que compense</w:t>
      </w:r>
      <w:r w:rsidR="00A83655">
        <w:rPr>
          <w:rFonts w:ascii="Verdana" w:eastAsia="Verdana" w:hAnsi="Verdana" w:cs="Verdana"/>
        </w:rPr>
        <w:t xml:space="preserve"> algunos de</w:t>
      </w:r>
      <w:r w:rsidR="000E401A">
        <w:rPr>
          <w:rFonts w:ascii="Verdana" w:eastAsia="Verdana" w:hAnsi="Verdana" w:cs="Verdana"/>
        </w:rPr>
        <w:t xml:space="preserve"> los daños </w:t>
      </w:r>
      <w:r w:rsidR="004A6094">
        <w:rPr>
          <w:rFonts w:ascii="Verdana" w:eastAsia="Verdana" w:hAnsi="Verdana" w:cs="Verdana"/>
        </w:rPr>
        <w:t xml:space="preserve">y perjuicios sufridos por los cientos de miles de usuarios que </w:t>
      </w:r>
      <w:r w:rsidR="00A83655">
        <w:rPr>
          <w:rFonts w:ascii="Verdana" w:eastAsia="Verdana" w:hAnsi="Verdana" w:cs="Verdana"/>
        </w:rPr>
        <w:t>se vieron afectados por los cortes de suministro ocasionados por EDESUR S.A.</w:t>
      </w:r>
    </w:p>
    <w:p w14:paraId="1598C756" w14:textId="721480E9" w:rsidR="009D44F1" w:rsidRDefault="00E4528F" w:rsidP="005A5886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Asimismo, en este orden de ideas y conociendo las dificultades y perjuicios económicos que padecieron aquellos usuarios afectados a los cortes del suministro, también solicitamos que se ordene el diferimiento en el pago de las facturas recibidas por los usuarios afectados, hasta tanto </w:t>
      </w:r>
      <w:r w:rsidRPr="00E4528F">
        <w:rPr>
          <w:rFonts w:ascii="Verdana" w:eastAsia="Verdana" w:hAnsi="Verdana" w:cs="Verdana"/>
        </w:rPr>
        <w:t xml:space="preserve">el ENRE defina los resarcimientos económicos que se reconocerán a los </w:t>
      </w:r>
      <w:r>
        <w:rPr>
          <w:rFonts w:ascii="Verdana" w:eastAsia="Verdana" w:hAnsi="Verdana" w:cs="Verdana"/>
        </w:rPr>
        <w:t>mismos</w:t>
      </w:r>
      <w:r w:rsidRPr="00E4528F"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 xml:space="preserve">evitando así mayores daños </w:t>
      </w:r>
      <w:r w:rsidRPr="00E4528F">
        <w:rPr>
          <w:rFonts w:ascii="Verdana" w:eastAsia="Verdana" w:hAnsi="Verdana" w:cs="Verdana"/>
        </w:rPr>
        <w:t>(tener que pagar las facturas cuando me deben resarcimientos)</w:t>
      </w:r>
      <w:r>
        <w:rPr>
          <w:rFonts w:ascii="Verdana" w:eastAsia="Verdana" w:hAnsi="Verdana" w:cs="Verdana"/>
        </w:rPr>
        <w:t xml:space="preserve"> sin que este diferimiento de pago sea pasible de la aplicación de ningún tipo de interés, punitorio o </w:t>
      </w:r>
      <w:r w:rsidR="009D44F1">
        <w:rPr>
          <w:rFonts w:ascii="Verdana" w:eastAsia="Verdana" w:hAnsi="Verdana" w:cs="Verdana"/>
        </w:rPr>
        <w:t>coeficiente indexatorio, sobre el monto original de la factura y tampoco opere la suspensión por falta de pago</w:t>
      </w:r>
      <w:r w:rsidR="001C0739">
        <w:rPr>
          <w:rFonts w:ascii="Verdana" w:eastAsia="Verdana" w:hAnsi="Verdana" w:cs="Verdana"/>
        </w:rPr>
        <w:t>”</w:t>
      </w:r>
      <w:r w:rsidR="009D44F1">
        <w:rPr>
          <w:rFonts w:ascii="Verdana" w:eastAsia="Verdana" w:hAnsi="Verdana" w:cs="Verdana"/>
        </w:rPr>
        <w:t>.</w:t>
      </w:r>
    </w:p>
    <w:p w14:paraId="17A2611C" w14:textId="63D8CD7E" w:rsidR="001C0739" w:rsidRDefault="001C0739" w:rsidP="005A5886">
      <w:pPr>
        <w:spacing w:line="360" w:lineRule="auto"/>
        <w:ind w:firstLine="70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Es por ello, que dejamos en nuestro sitio el formulario para completar con el objetivo de solicitar el diferimiento ante la intervención de la distribuidora.</w:t>
      </w:r>
    </w:p>
    <w:p w14:paraId="0F504FAA" w14:textId="77777777" w:rsidR="001C0739" w:rsidRDefault="001C0739" w:rsidP="005A5886">
      <w:pPr>
        <w:spacing w:line="360" w:lineRule="auto"/>
        <w:ind w:firstLine="708"/>
        <w:jc w:val="both"/>
        <w:rPr>
          <w:rFonts w:ascii="Verdana" w:eastAsia="Verdana" w:hAnsi="Verdana" w:cs="Verdana"/>
        </w:rPr>
      </w:pPr>
    </w:p>
    <w:p w14:paraId="2B0521E9" w14:textId="211012AA" w:rsidR="005A5886" w:rsidRDefault="005A5886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</w:p>
    <w:p w14:paraId="3D947628" w14:textId="77777777" w:rsidR="005A5886" w:rsidRDefault="005A5886" w:rsidP="009D44F1">
      <w:pPr>
        <w:spacing w:line="360" w:lineRule="auto"/>
        <w:ind w:firstLine="708"/>
        <w:jc w:val="both"/>
        <w:rPr>
          <w:rFonts w:ascii="Verdana" w:eastAsia="Verdana" w:hAnsi="Verdana" w:cs="Verdana"/>
        </w:rPr>
      </w:pPr>
    </w:p>
    <w:p w14:paraId="59793337" w14:textId="77777777" w:rsidR="00D832D9" w:rsidRDefault="00D832D9">
      <w:pPr>
        <w:ind w:firstLine="708"/>
        <w:jc w:val="both"/>
        <w:rPr>
          <w:rFonts w:ascii="Verdana" w:eastAsia="Verdana" w:hAnsi="Verdana" w:cs="Verdana"/>
        </w:rPr>
      </w:pPr>
    </w:p>
    <w:sectPr w:rsidR="00D832D9" w:rsidSect="00061662">
      <w:pgSz w:w="11906" w:h="16838" w:code="9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E747" w14:textId="77777777" w:rsidR="008A4327" w:rsidRDefault="008A4327" w:rsidP="00BD1239">
      <w:pPr>
        <w:spacing w:after="0" w:line="240" w:lineRule="auto"/>
      </w:pPr>
      <w:r>
        <w:separator/>
      </w:r>
    </w:p>
  </w:endnote>
  <w:endnote w:type="continuationSeparator" w:id="0">
    <w:p w14:paraId="5011F420" w14:textId="77777777" w:rsidR="008A4327" w:rsidRDefault="008A4327" w:rsidP="00B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91500" w14:textId="77777777" w:rsidR="008A4327" w:rsidRDefault="008A4327" w:rsidP="00BD1239">
      <w:pPr>
        <w:spacing w:after="0" w:line="240" w:lineRule="auto"/>
      </w:pPr>
      <w:r>
        <w:separator/>
      </w:r>
    </w:p>
  </w:footnote>
  <w:footnote w:type="continuationSeparator" w:id="0">
    <w:p w14:paraId="79ABFA77" w14:textId="77777777" w:rsidR="008A4327" w:rsidRDefault="008A4327" w:rsidP="00B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7501"/>
    <w:multiLevelType w:val="multilevel"/>
    <w:tmpl w:val="E26C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826BE"/>
    <w:multiLevelType w:val="multilevel"/>
    <w:tmpl w:val="1D9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D9"/>
    <w:rsid w:val="00033E0D"/>
    <w:rsid w:val="0004478B"/>
    <w:rsid w:val="00061662"/>
    <w:rsid w:val="0007379B"/>
    <w:rsid w:val="000E401A"/>
    <w:rsid w:val="001C0739"/>
    <w:rsid w:val="001D2D3D"/>
    <w:rsid w:val="00284772"/>
    <w:rsid w:val="00372C7E"/>
    <w:rsid w:val="003A1F4D"/>
    <w:rsid w:val="004A6094"/>
    <w:rsid w:val="005A5886"/>
    <w:rsid w:val="005E03EF"/>
    <w:rsid w:val="006B65AA"/>
    <w:rsid w:val="00730103"/>
    <w:rsid w:val="00757126"/>
    <w:rsid w:val="00794413"/>
    <w:rsid w:val="008A4327"/>
    <w:rsid w:val="008A6DDF"/>
    <w:rsid w:val="009456BD"/>
    <w:rsid w:val="0097552D"/>
    <w:rsid w:val="0099171E"/>
    <w:rsid w:val="009D44F1"/>
    <w:rsid w:val="00A24724"/>
    <w:rsid w:val="00A41DBD"/>
    <w:rsid w:val="00A83655"/>
    <w:rsid w:val="00AA1596"/>
    <w:rsid w:val="00AA34A7"/>
    <w:rsid w:val="00AC6ABC"/>
    <w:rsid w:val="00AD6804"/>
    <w:rsid w:val="00BD1239"/>
    <w:rsid w:val="00D56BDB"/>
    <w:rsid w:val="00D832D9"/>
    <w:rsid w:val="00DE1872"/>
    <w:rsid w:val="00E0368B"/>
    <w:rsid w:val="00E4528F"/>
    <w:rsid w:val="00F2537D"/>
    <w:rsid w:val="00F5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8BCD"/>
  <w15:docId w15:val="{02A820F5-F022-4095-8634-01D36AC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BD1239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12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12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1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lkFhdtXij3oxDj5P6paQE3qtAQ==">AMUW2mWCL+bP5Lstkup3jY7WczItv9l5Rwr1RGwr4FHLUVotf2mehOXgrQsxazBPcaIn6dUAIuwmhMyNie27ANZZHrbskkOmWatxop7x3gl3sn9W6drp17Y=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8725F9-8B33-47DF-8A22-CC82CF48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Lacey</dc:creator>
  <cp:lastModifiedBy>Lenovo</cp:lastModifiedBy>
  <cp:revision>3</cp:revision>
  <dcterms:created xsi:type="dcterms:W3CDTF">2023-04-17T19:49:00Z</dcterms:created>
  <dcterms:modified xsi:type="dcterms:W3CDTF">2023-04-17T20:09:00Z</dcterms:modified>
</cp:coreProperties>
</file>